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7FC0"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2E6A4B">
        <w:rPr>
          <w:rFonts w:eastAsia="ＭＳ 明朝" w:hint="eastAsia"/>
          <w:lang w:eastAsia="ja-JP"/>
        </w:rPr>
        <w:t>62</w:t>
      </w:r>
    </w:p>
    <w:p w14:paraId="1EE8D493" w14:textId="77777777" w:rsidR="002E6A4B" w:rsidRDefault="002E6A4B" w:rsidP="002E6A4B">
      <w:pPr>
        <w:pStyle w:val="1"/>
        <w:rPr>
          <w:rFonts w:eastAsia="ＭＳ 明朝"/>
          <w:lang w:eastAsia="ja-JP"/>
        </w:rPr>
      </w:pPr>
      <w:r>
        <w:rPr>
          <w:rFonts w:eastAsia="ＭＳ 明朝" w:hint="eastAsia"/>
          <w:lang w:eastAsia="ja-JP"/>
        </w:rPr>
        <w:t>Golden Rule</w:t>
      </w:r>
    </w:p>
    <w:p w14:paraId="652FCD7D" w14:textId="77777777" w:rsidR="002E6A4B" w:rsidRDefault="002E6A4B" w:rsidP="002E6A4B">
      <w:pPr>
        <w:rPr>
          <w:rFonts w:eastAsia="ＭＳ 明朝"/>
          <w:lang w:eastAsia="ja-JP"/>
        </w:rPr>
      </w:pPr>
      <w:r>
        <w:rPr>
          <w:rFonts w:eastAsia="ＭＳ 明朝" w:hint="eastAsia"/>
          <w:lang w:eastAsia="ja-JP"/>
        </w:rPr>
        <w:t>Wikipedia has an excellent explanation of this so I will quote part of it directly.</w:t>
      </w:r>
    </w:p>
    <w:p w14:paraId="75EB1630" w14:textId="77777777" w:rsidR="003F3A58" w:rsidRPr="003F3A58" w:rsidRDefault="003F3A58" w:rsidP="003F3A58">
      <w:pPr>
        <w:shd w:val="clear" w:color="auto" w:fill="FFFFFF"/>
        <w:spacing w:before="120" w:after="120" w:line="240" w:lineRule="auto"/>
        <w:rPr>
          <w:rFonts w:ascii="Arial" w:eastAsia="Times New Roman" w:hAnsi="Arial" w:cs="Arial"/>
          <w:color w:val="222222"/>
          <w:sz w:val="21"/>
          <w:szCs w:val="21"/>
        </w:rPr>
      </w:pPr>
      <w:r w:rsidRPr="003F3A58">
        <w:rPr>
          <w:rFonts w:ascii="Arial" w:eastAsia="Times New Roman" w:hAnsi="Arial" w:cs="Arial"/>
          <w:color w:val="222222"/>
          <w:sz w:val="21"/>
          <w:szCs w:val="21"/>
        </w:rPr>
        <w:t>The </w:t>
      </w:r>
      <w:r w:rsidRPr="003F3A58">
        <w:rPr>
          <w:rFonts w:ascii="Arial" w:eastAsia="Times New Roman" w:hAnsi="Arial" w:cs="Arial"/>
          <w:b/>
          <w:bCs/>
          <w:color w:val="222222"/>
          <w:sz w:val="21"/>
          <w:szCs w:val="21"/>
        </w:rPr>
        <w:t>Golden Rule</w:t>
      </w:r>
      <w:r w:rsidRPr="003F3A58">
        <w:rPr>
          <w:rFonts w:ascii="Arial" w:eastAsia="Times New Roman" w:hAnsi="Arial" w:cs="Arial"/>
          <w:color w:val="222222"/>
          <w:sz w:val="21"/>
          <w:szCs w:val="21"/>
        </w:rPr>
        <w:t> is the principle of treating others as you want to be treated. It is a maxim that is found in many religions and cultures. It can be considered an </w:t>
      </w:r>
      <w:r w:rsidRPr="003F3A58">
        <w:rPr>
          <w:rFonts w:ascii="Arial" w:eastAsia="Times New Roman" w:hAnsi="Arial" w:cs="Arial"/>
          <w:b/>
          <w:bCs/>
          <w:color w:val="222222"/>
          <w:sz w:val="21"/>
          <w:szCs w:val="21"/>
        </w:rPr>
        <w:t>ethic of reciprocity</w:t>
      </w:r>
      <w:r w:rsidRPr="003F3A58">
        <w:rPr>
          <w:rFonts w:ascii="Arial" w:eastAsia="Times New Roman" w:hAnsi="Arial" w:cs="Arial"/>
          <w:color w:val="222222"/>
          <w:sz w:val="21"/>
          <w:szCs w:val="21"/>
        </w:rPr>
        <w:t> in some religions, although other religions treat it differently. The maxim may appear as a positive or negative injunction governing conduct:</w:t>
      </w:r>
    </w:p>
    <w:p w14:paraId="56BF3136" w14:textId="77777777" w:rsidR="003F3A58" w:rsidRPr="003F3A58" w:rsidRDefault="003F3A58" w:rsidP="003F3A58">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3F3A58">
        <w:rPr>
          <w:rFonts w:ascii="Arial" w:eastAsia="Times New Roman" w:hAnsi="Arial" w:cs="Arial"/>
          <w:color w:val="222222"/>
          <w:sz w:val="21"/>
          <w:szCs w:val="21"/>
        </w:rPr>
        <w:t>Treat others as you would like others to treat you (positive or directive form)</w:t>
      </w:r>
    </w:p>
    <w:p w14:paraId="7FCFD588" w14:textId="77777777" w:rsidR="003F3A58" w:rsidRPr="003F3A58" w:rsidRDefault="003F3A58" w:rsidP="003F3A58">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3F3A58">
        <w:rPr>
          <w:rFonts w:ascii="Arial" w:eastAsia="Times New Roman" w:hAnsi="Arial" w:cs="Arial"/>
          <w:color w:val="222222"/>
          <w:sz w:val="21"/>
          <w:szCs w:val="21"/>
        </w:rPr>
        <w:t>Do </w:t>
      </w:r>
      <w:r w:rsidRPr="003F3A58">
        <w:rPr>
          <w:rFonts w:ascii="Arial" w:eastAsia="Times New Roman" w:hAnsi="Arial" w:cs="Arial"/>
          <w:i/>
          <w:iCs/>
          <w:color w:val="222222"/>
          <w:sz w:val="21"/>
          <w:szCs w:val="21"/>
        </w:rPr>
        <w:t>not</w:t>
      </w:r>
      <w:r w:rsidRPr="003F3A58">
        <w:rPr>
          <w:rFonts w:ascii="Arial" w:eastAsia="Times New Roman" w:hAnsi="Arial" w:cs="Arial"/>
          <w:color w:val="222222"/>
          <w:sz w:val="21"/>
          <w:szCs w:val="21"/>
        </w:rPr>
        <w:t> treat others in ways that you would </w:t>
      </w:r>
      <w:r w:rsidRPr="003F3A58">
        <w:rPr>
          <w:rFonts w:ascii="Arial" w:eastAsia="Times New Roman" w:hAnsi="Arial" w:cs="Arial"/>
          <w:i/>
          <w:iCs/>
          <w:color w:val="222222"/>
          <w:sz w:val="21"/>
          <w:szCs w:val="21"/>
        </w:rPr>
        <w:t>not</w:t>
      </w:r>
      <w:r w:rsidRPr="003F3A58">
        <w:rPr>
          <w:rFonts w:ascii="Arial" w:eastAsia="Times New Roman" w:hAnsi="Arial" w:cs="Arial"/>
          <w:color w:val="222222"/>
          <w:sz w:val="21"/>
          <w:szCs w:val="21"/>
        </w:rPr>
        <w:t> like to be treated (negative or prohibitive form)</w:t>
      </w:r>
      <w:hyperlink r:id="rId8" w:anchor="cite_note-Flew-1" w:history="1">
        <w:r w:rsidRPr="003F3A58">
          <w:rPr>
            <w:rFonts w:ascii="Arial" w:eastAsia="Times New Roman" w:hAnsi="Arial" w:cs="Arial"/>
            <w:color w:val="0B0080"/>
            <w:sz w:val="17"/>
            <w:szCs w:val="17"/>
            <w:vertAlign w:val="superscript"/>
          </w:rPr>
          <w:t>[1]</w:t>
        </w:r>
      </w:hyperlink>
    </w:p>
    <w:p w14:paraId="633FB857" w14:textId="77777777" w:rsidR="003F3A58" w:rsidRPr="003F3A58" w:rsidRDefault="003F3A58" w:rsidP="003F3A58">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3F3A58">
        <w:rPr>
          <w:rFonts w:ascii="Arial" w:eastAsia="Times New Roman" w:hAnsi="Arial" w:cs="Arial"/>
          <w:color w:val="222222"/>
          <w:sz w:val="21"/>
          <w:szCs w:val="21"/>
        </w:rPr>
        <w:t>What you wish upon others, you wish upon yourself (empathic or responsive form)</w:t>
      </w:r>
      <w:hyperlink r:id="rId9" w:anchor="cite_note-Flew-1" w:history="1">
        <w:r w:rsidRPr="003F3A58">
          <w:rPr>
            <w:rFonts w:ascii="Arial" w:eastAsia="Times New Roman" w:hAnsi="Arial" w:cs="Arial"/>
            <w:color w:val="0B0080"/>
            <w:sz w:val="17"/>
            <w:szCs w:val="17"/>
            <w:vertAlign w:val="superscript"/>
          </w:rPr>
          <w:t>[1]</w:t>
        </w:r>
      </w:hyperlink>
    </w:p>
    <w:p w14:paraId="1E8FDE37" w14:textId="77777777" w:rsidR="003F3A58" w:rsidRPr="003F3A58" w:rsidRDefault="003F3A58" w:rsidP="003F3A58">
      <w:pPr>
        <w:shd w:val="clear" w:color="auto" w:fill="FFFFFF"/>
        <w:spacing w:before="120" w:after="120" w:line="240" w:lineRule="auto"/>
        <w:rPr>
          <w:rFonts w:ascii="Arial" w:eastAsia="ＭＳ 明朝" w:hAnsi="Arial" w:cs="Arial"/>
          <w:color w:val="222222"/>
          <w:sz w:val="21"/>
          <w:szCs w:val="21"/>
          <w:lang w:eastAsia="ja-JP"/>
        </w:rPr>
      </w:pPr>
      <w:r w:rsidRPr="003F3A58">
        <w:rPr>
          <w:rFonts w:ascii="Arial" w:eastAsia="Times New Roman" w:hAnsi="Arial" w:cs="Arial"/>
          <w:color w:val="222222"/>
          <w:sz w:val="21"/>
          <w:szCs w:val="21"/>
        </w:rPr>
        <w:t>The idea dates at least to the early </w:t>
      </w:r>
      <w:hyperlink r:id="rId10" w:tooltip="Confucian" w:history="1">
        <w:r w:rsidRPr="003F3A58">
          <w:rPr>
            <w:rFonts w:ascii="Arial" w:eastAsia="Times New Roman" w:hAnsi="Arial" w:cs="Arial"/>
            <w:color w:val="0B0080"/>
            <w:sz w:val="21"/>
            <w:szCs w:val="21"/>
          </w:rPr>
          <w:t>Confucian</w:t>
        </w:r>
      </w:hyperlink>
      <w:r w:rsidRPr="003F3A58">
        <w:rPr>
          <w:rFonts w:ascii="Arial" w:eastAsia="Times New Roman" w:hAnsi="Arial" w:cs="Arial"/>
          <w:color w:val="222222"/>
          <w:sz w:val="21"/>
          <w:szCs w:val="21"/>
        </w:rPr>
        <w:t> times (551–479 BC), according to </w:t>
      </w:r>
      <w:hyperlink r:id="rId11" w:tooltip="Rushworth Kidder" w:history="1">
        <w:r w:rsidRPr="003F3A58">
          <w:rPr>
            <w:rFonts w:ascii="Arial" w:eastAsia="Times New Roman" w:hAnsi="Arial" w:cs="Arial"/>
            <w:color w:val="0B0080"/>
            <w:sz w:val="21"/>
            <w:szCs w:val="21"/>
          </w:rPr>
          <w:t>Rushworth Kidder</w:t>
        </w:r>
      </w:hyperlink>
      <w:r w:rsidRPr="003F3A58">
        <w:rPr>
          <w:rFonts w:ascii="Arial" w:eastAsia="Times New Roman" w:hAnsi="Arial" w:cs="Arial"/>
          <w:color w:val="222222"/>
          <w:sz w:val="21"/>
          <w:szCs w:val="21"/>
        </w:rPr>
        <w:t>, who identifies that this concept appears prominently in Buddhism, Christianity, Hinduism, Judaism, Taoism, Zoroastrianism, and "the rest of the world's major religions". The concept of the Rule is codified in the </w:t>
      </w:r>
      <w:hyperlink r:id="rId12" w:tooltip="Code of Hammurabi" w:history="1">
        <w:r w:rsidRPr="003F3A58">
          <w:rPr>
            <w:rFonts w:ascii="Arial" w:eastAsia="Times New Roman" w:hAnsi="Arial" w:cs="Arial"/>
            <w:color w:val="0B0080"/>
            <w:sz w:val="21"/>
            <w:szCs w:val="21"/>
          </w:rPr>
          <w:t>Code of Hammurabi</w:t>
        </w:r>
      </w:hyperlink>
      <w:r w:rsidRPr="003F3A58">
        <w:rPr>
          <w:rFonts w:ascii="Arial" w:eastAsia="Times New Roman" w:hAnsi="Arial" w:cs="Arial"/>
          <w:color w:val="222222"/>
          <w:sz w:val="21"/>
          <w:szCs w:val="21"/>
        </w:rPr>
        <w:t> stele and tablets (1754-1790 BC). 143 leaders of the world's major faiths endorsed the Golden Rule as part of the 1993 "Declaration Toward a Global Ethic". According to </w:t>
      </w:r>
      <w:hyperlink r:id="rId13" w:tooltip="Greg M. Epstein" w:history="1">
        <w:r w:rsidRPr="003F3A58">
          <w:rPr>
            <w:rFonts w:ascii="Arial" w:eastAsia="Times New Roman" w:hAnsi="Arial" w:cs="Arial"/>
            <w:color w:val="0B0080"/>
            <w:sz w:val="21"/>
            <w:szCs w:val="21"/>
          </w:rPr>
          <w:t>Greg M. Epstein</w:t>
        </w:r>
      </w:hyperlink>
      <w:r w:rsidRPr="003F3A58">
        <w:rPr>
          <w:rFonts w:ascii="Arial" w:eastAsia="Times New Roman" w:hAnsi="Arial" w:cs="Arial"/>
          <w:color w:val="222222"/>
          <w:sz w:val="21"/>
          <w:szCs w:val="21"/>
        </w:rPr>
        <w:t>, it is "a concept that essentially no religion misses entirely", but belief in God is not necessary to endorse it. </w:t>
      </w:r>
      <w:hyperlink r:id="rId14" w:tooltip="Simon Blackburn" w:history="1">
        <w:r w:rsidRPr="003F3A58">
          <w:rPr>
            <w:rFonts w:ascii="Arial" w:eastAsia="Times New Roman" w:hAnsi="Arial" w:cs="Arial"/>
            <w:color w:val="0B0080"/>
            <w:sz w:val="21"/>
            <w:szCs w:val="21"/>
          </w:rPr>
          <w:t>Simon Blackburn</w:t>
        </w:r>
      </w:hyperlink>
      <w:r w:rsidRPr="003F3A58">
        <w:rPr>
          <w:rFonts w:ascii="Arial" w:eastAsia="Times New Roman" w:hAnsi="Arial" w:cs="Arial"/>
          <w:color w:val="222222"/>
          <w:sz w:val="21"/>
          <w:szCs w:val="21"/>
        </w:rPr>
        <w:t> also states that the Golden Rule can be "found in some form in almost every ethical tradition".</w:t>
      </w:r>
      <w:r>
        <w:rPr>
          <w:rStyle w:val="a8"/>
          <w:rFonts w:ascii="Arial" w:eastAsia="Times New Roman" w:hAnsi="Arial" w:cs="Arial"/>
          <w:color w:val="222222"/>
          <w:sz w:val="21"/>
          <w:szCs w:val="21"/>
        </w:rPr>
        <w:footnoteReference w:id="1"/>
      </w:r>
    </w:p>
    <w:p w14:paraId="104C9A15" w14:textId="77777777" w:rsidR="002E6A4B" w:rsidRDefault="003F3A58" w:rsidP="003F3A58">
      <w:pPr>
        <w:jc w:val="both"/>
        <w:rPr>
          <w:rFonts w:eastAsia="ＭＳ 明朝"/>
          <w:lang w:eastAsia="ja-JP"/>
        </w:rPr>
      </w:pPr>
      <w:r>
        <w:rPr>
          <w:rFonts w:eastAsia="ＭＳ 明朝" w:hint="eastAsia"/>
          <w:lang w:eastAsia="ja-JP"/>
        </w:rPr>
        <w:t>I was raised in a C</w:t>
      </w:r>
      <w:r>
        <w:rPr>
          <w:rFonts w:eastAsia="ＭＳ 明朝"/>
          <w:lang w:eastAsia="ja-JP"/>
        </w:rPr>
        <w:t>h</w:t>
      </w:r>
      <w:r>
        <w:rPr>
          <w:rFonts w:eastAsia="ＭＳ 明朝" w:hint="eastAsia"/>
          <w:lang w:eastAsia="ja-JP"/>
        </w:rPr>
        <w:t xml:space="preserve">ristian environment as my parents were members of the Lutheran Church, so I was </w:t>
      </w:r>
      <w:r>
        <w:rPr>
          <w:rFonts w:eastAsia="ＭＳ 明朝"/>
          <w:lang w:eastAsia="ja-JP"/>
        </w:rPr>
        <w:t>baptized</w:t>
      </w:r>
      <w:r>
        <w:rPr>
          <w:rFonts w:eastAsia="ＭＳ 明朝" w:hint="eastAsia"/>
          <w:lang w:eastAsia="ja-JP"/>
        </w:rPr>
        <w:t xml:space="preserve"> there when I was a baby  and from my earliest memories I had to go to church every Sunday, first to Sunday School when I was small, and then to regular church services when I got older. Then when I was in junior high school I had to go to Confirmation Classes every Saturday for two hours to study the Bible. After passing that class, one then becomes a full member of the church and canreceive the Eucharist</w:t>
      </w:r>
      <w:r>
        <w:rPr>
          <w:rStyle w:val="a8"/>
          <w:rFonts w:eastAsia="ＭＳ 明朝"/>
          <w:lang w:eastAsia="ja-JP"/>
        </w:rPr>
        <w:footnoteReference w:id="2"/>
      </w:r>
      <w:r>
        <w:rPr>
          <w:rFonts w:eastAsia="ＭＳ 明朝" w:hint="eastAsia"/>
          <w:lang w:eastAsia="ja-JP"/>
        </w:rPr>
        <w:t>.</w:t>
      </w:r>
      <w:r w:rsidR="002269BD">
        <w:rPr>
          <w:rFonts w:eastAsia="ＭＳ 明朝" w:hint="eastAsia"/>
          <w:lang w:eastAsia="ja-JP"/>
        </w:rPr>
        <w:t xml:space="preserve"> This is also called the </w:t>
      </w:r>
      <w:r w:rsidR="002269BD">
        <w:rPr>
          <w:rFonts w:eastAsia="ＭＳ 明朝"/>
          <w:lang w:eastAsia="ja-JP"/>
        </w:rPr>
        <w:t>sacrament</w:t>
      </w:r>
      <w:r w:rsidR="002269BD">
        <w:rPr>
          <w:rFonts w:eastAsia="ＭＳ 明朝" w:hint="eastAsia"/>
          <w:lang w:eastAsia="ja-JP"/>
        </w:rPr>
        <w:t xml:space="preserve"> and is a ceremony in the church where </w:t>
      </w:r>
      <w:r w:rsidR="002269BD">
        <w:rPr>
          <w:rFonts w:eastAsia="ＭＳ 明朝"/>
          <w:lang w:eastAsia="ja-JP"/>
        </w:rPr>
        <w:t>parishioners</w:t>
      </w:r>
      <w:r w:rsidR="002269BD">
        <w:rPr>
          <w:rStyle w:val="a8"/>
          <w:rFonts w:eastAsia="ＭＳ 明朝"/>
          <w:lang w:eastAsia="ja-JP"/>
        </w:rPr>
        <w:footnoteReference w:id="3"/>
      </w:r>
      <w:r w:rsidR="002269BD">
        <w:rPr>
          <w:rFonts w:eastAsia="ＭＳ 明朝" w:hint="eastAsia"/>
          <w:lang w:eastAsia="ja-JP"/>
        </w:rPr>
        <w:t xml:space="preserve"> go up to the altar and the minister/priest gives each person a small bread wafer and small glass of wine. The bread represents the body of Christ and the wine represents the blood of Christ. The minister/priest repeats those phrases each time a parishioner is given those items.</w:t>
      </w:r>
    </w:p>
    <w:p w14:paraId="65BFD0A6" w14:textId="77777777" w:rsidR="002269BD" w:rsidRPr="002E6A4B" w:rsidRDefault="002269BD" w:rsidP="003F3A58">
      <w:pPr>
        <w:jc w:val="both"/>
        <w:rPr>
          <w:rFonts w:eastAsia="ＭＳ 明朝"/>
          <w:lang w:eastAsia="ja-JP"/>
        </w:rPr>
      </w:pPr>
      <w:r>
        <w:rPr>
          <w:rFonts w:eastAsia="ＭＳ 明朝" w:hint="eastAsia"/>
          <w:lang w:eastAsia="ja-JP"/>
        </w:rPr>
        <w:t xml:space="preserve">Returning to the Golden Rule: there are those who also define it differently and sarcastically to mean </w:t>
      </w:r>
      <w:r>
        <w:rPr>
          <w:rFonts w:eastAsia="ＭＳ 明朝"/>
          <w:lang w:eastAsia="ja-JP"/>
        </w:rPr>
        <w:t>“</w:t>
      </w:r>
      <w:r>
        <w:rPr>
          <w:rFonts w:eastAsia="ＭＳ 明朝" w:hint="eastAsia"/>
          <w:lang w:eastAsia="ja-JP"/>
        </w:rPr>
        <w:t>he who has the gold makes the rule</w:t>
      </w:r>
      <w:r>
        <w:rPr>
          <w:rFonts w:eastAsia="ＭＳ 明朝"/>
          <w:lang w:eastAsia="ja-JP"/>
        </w:rPr>
        <w:t>”</w:t>
      </w:r>
      <w:r>
        <w:rPr>
          <w:rFonts w:eastAsia="ＭＳ 明朝" w:hint="eastAsia"/>
          <w:lang w:eastAsia="ja-JP"/>
        </w:rPr>
        <w:t xml:space="preserve"> which means that people who have great wealth are able to make rules that are beneficial to themselves. In other words, they are able to </w:t>
      </w:r>
      <w:r>
        <w:rPr>
          <w:rFonts w:eastAsia="ＭＳ 明朝"/>
          <w:lang w:eastAsia="ja-JP"/>
        </w:rPr>
        <w:t>“</w:t>
      </w:r>
      <w:r>
        <w:rPr>
          <w:rFonts w:eastAsia="ＭＳ 明朝" w:hint="eastAsia"/>
          <w:lang w:eastAsia="ja-JP"/>
        </w:rPr>
        <w:t>buy</w:t>
      </w:r>
      <w:r>
        <w:rPr>
          <w:rFonts w:eastAsia="ＭＳ 明朝"/>
          <w:lang w:eastAsia="ja-JP"/>
        </w:rPr>
        <w:t>”</w:t>
      </w:r>
      <w:r>
        <w:rPr>
          <w:rFonts w:eastAsia="ＭＳ 明朝" w:hint="eastAsia"/>
          <w:lang w:eastAsia="ja-JP"/>
        </w:rPr>
        <w:t xml:space="preserve"> privileges and special favors which other people are unable to do.</w:t>
      </w:r>
    </w:p>
    <w:sectPr w:rsidR="002269BD" w:rsidRPr="002E6A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AA7E0" w14:textId="77777777" w:rsidR="000C56E0" w:rsidRDefault="000C56E0" w:rsidP="003F3A58">
      <w:pPr>
        <w:spacing w:after="0" w:line="240" w:lineRule="auto"/>
      </w:pPr>
      <w:r>
        <w:separator/>
      </w:r>
    </w:p>
  </w:endnote>
  <w:endnote w:type="continuationSeparator" w:id="0">
    <w:p w14:paraId="7C67E867" w14:textId="77777777" w:rsidR="000C56E0" w:rsidRDefault="000C56E0" w:rsidP="003F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3DBCE" w14:textId="77777777" w:rsidR="000C56E0" w:rsidRDefault="000C56E0" w:rsidP="003F3A58">
      <w:pPr>
        <w:spacing w:after="0" w:line="240" w:lineRule="auto"/>
      </w:pPr>
      <w:r>
        <w:separator/>
      </w:r>
    </w:p>
  </w:footnote>
  <w:footnote w:type="continuationSeparator" w:id="0">
    <w:p w14:paraId="12A573AF" w14:textId="77777777" w:rsidR="000C56E0" w:rsidRDefault="000C56E0" w:rsidP="003F3A58">
      <w:pPr>
        <w:spacing w:after="0" w:line="240" w:lineRule="auto"/>
      </w:pPr>
      <w:r>
        <w:continuationSeparator/>
      </w:r>
    </w:p>
  </w:footnote>
  <w:footnote w:id="1">
    <w:p w14:paraId="5FFAD43C" w14:textId="77777777" w:rsidR="003F3A58" w:rsidRPr="003F3A58" w:rsidRDefault="003F3A58">
      <w:pPr>
        <w:pStyle w:val="a6"/>
        <w:rPr>
          <w:rFonts w:eastAsia="ＭＳ 明朝"/>
          <w:lang w:eastAsia="ja-JP"/>
        </w:rPr>
      </w:pPr>
      <w:r>
        <w:rPr>
          <w:rStyle w:val="a8"/>
        </w:rPr>
        <w:footnoteRef/>
      </w:r>
      <w:r>
        <w:t xml:space="preserve"> </w:t>
      </w:r>
      <w:hyperlink r:id="rId1" w:history="1">
        <w:r>
          <w:rPr>
            <w:rStyle w:val="a5"/>
          </w:rPr>
          <w:t>https://en.wikipedia.org/wiki/Golden_Rule</w:t>
        </w:r>
      </w:hyperlink>
    </w:p>
  </w:footnote>
  <w:footnote w:id="2">
    <w:p w14:paraId="34ACEA9F" w14:textId="77777777" w:rsidR="003F3A58" w:rsidRPr="003F3A58" w:rsidRDefault="003F3A58">
      <w:pPr>
        <w:pStyle w:val="a6"/>
        <w:rPr>
          <w:rFonts w:eastAsia="ＭＳ 明朝"/>
          <w:lang w:eastAsia="ja-JP"/>
        </w:rPr>
      </w:pPr>
      <w:r>
        <w:rPr>
          <w:rStyle w:val="a8"/>
        </w:rPr>
        <w:footnoteRef/>
      </w:r>
      <w:r>
        <w:t xml:space="preserve"> </w:t>
      </w:r>
      <w:r w:rsidRPr="003F3A58">
        <w:rPr>
          <w:rFonts w:hint="eastAsia"/>
        </w:rPr>
        <w:t>聖体</w:t>
      </w:r>
    </w:p>
  </w:footnote>
  <w:footnote w:id="3">
    <w:p w14:paraId="68B1B405" w14:textId="77777777" w:rsidR="002269BD" w:rsidRPr="002269BD" w:rsidRDefault="002269BD">
      <w:pPr>
        <w:pStyle w:val="a6"/>
        <w:rPr>
          <w:rFonts w:eastAsia="ＭＳ 明朝"/>
          <w:lang w:eastAsia="ja-JP"/>
        </w:rPr>
      </w:pPr>
      <w:r>
        <w:rPr>
          <w:rStyle w:val="a8"/>
        </w:rPr>
        <w:footnoteRef/>
      </w:r>
      <w:r>
        <w:t xml:space="preserve"> </w:t>
      </w:r>
      <w:r w:rsidRPr="002269BD">
        <w:rPr>
          <w:rFonts w:hint="eastAsia"/>
        </w:rPr>
        <w:t>教区民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303E"/>
    <w:multiLevelType w:val="multilevel"/>
    <w:tmpl w:val="F3DE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cumentProtection w:edit="readOnly"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A4B"/>
    <w:rsid w:val="0001462C"/>
    <w:rsid w:val="00092992"/>
    <w:rsid w:val="000C56E0"/>
    <w:rsid w:val="002269BD"/>
    <w:rsid w:val="00235595"/>
    <w:rsid w:val="002E6A4B"/>
    <w:rsid w:val="00384453"/>
    <w:rsid w:val="003A3A91"/>
    <w:rsid w:val="003F3A58"/>
    <w:rsid w:val="004A1DBB"/>
    <w:rsid w:val="006810BE"/>
    <w:rsid w:val="0078125C"/>
    <w:rsid w:val="00AB3826"/>
    <w:rsid w:val="00EB0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A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E6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2E6A4B"/>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3F3A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F3A58"/>
    <w:rPr>
      <w:color w:val="0000FF"/>
      <w:u w:val="single"/>
    </w:rPr>
  </w:style>
  <w:style w:type="paragraph" w:styleId="a6">
    <w:name w:val="footnote text"/>
    <w:basedOn w:val="a"/>
    <w:link w:val="a7"/>
    <w:uiPriority w:val="99"/>
    <w:semiHidden/>
    <w:unhideWhenUsed/>
    <w:rsid w:val="003F3A58"/>
    <w:pPr>
      <w:spacing w:after="0" w:line="240" w:lineRule="auto"/>
    </w:pPr>
    <w:rPr>
      <w:sz w:val="20"/>
      <w:szCs w:val="20"/>
    </w:rPr>
  </w:style>
  <w:style w:type="character" w:customStyle="1" w:styleId="a7">
    <w:name w:val="脚注文字列 (文字)"/>
    <w:basedOn w:val="a0"/>
    <w:link w:val="a6"/>
    <w:uiPriority w:val="99"/>
    <w:semiHidden/>
    <w:rsid w:val="003F3A58"/>
    <w:rPr>
      <w:sz w:val="20"/>
      <w:szCs w:val="20"/>
    </w:rPr>
  </w:style>
  <w:style w:type="character" w:styleId="a8">
    <w:name w:val="footnote reference"/>
    <w:basedOn w:val="a0"/>
    <w:uiPriority w:val="99"/>
    <w:semiHidden/>
    <w:unhideWhenUsed/>
    <w:rsid w:val="003F3A58"/>
    <w:rPr>
      <w:vertAlign w:val="superscript"/>
    </w:rPr>
  </w:style>
  <w:style w:type="paragraph" w:styleId="a9">
    <w:name w:val="Balloon Text"/>
    <w:basedOn w:val="a"/>
    <w:link w:val="aa"/>
    <w:uiPriority w:val="99"/>
    <w:semiHidden/>
    <w:unhideWhenUsed/>
    <w:rsid w:val="00235595"/>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5595"/>
    <w:rPr>
      <w:rFonts w:asciiTheme="majorHAnsi" w:eastAsiaTheme="majorEastAsia" w:hAnsiTheme="majorHAnsi" w:cstheme="majorBidi"/>
      <w:sz w:val="18"/>
      <w:szCs w:val="18"/>
    </w:rPr>
  </w:style>
  <w:style w:type="paragraph" w:styleId="ab">
    <w:name w:val="header"/>
    <w:basedOn w:val="a"/>
    <w:link w:val="ac"/>
    <w:uiPriority w:val="99"/>
    <w:unhideWhenUsed/>
    <w:rsid w:val="006810BE"/>
    <w:pPr>
      <w:tabs>
        <w:tab w:val="center" w:pos="4252"/>
        <w:tab w:val="right" w:pos="8504"/>
      </w:tabs>
      <w:snapToGrid w:val="0"/>
    </w:pPr>
  </w:style>
  <w:style w:type="character" w:customStyle="1" w:styleId="ac">
    <w:name w:val="ヘッダー (文字)"/>
    <w:basedOn w:val="a0"/>
    <w:link w:val="ab"/>
    <w:uiPriority w:val="99"/>
    <w:rsid w:val="006810BE"/>
  </w:style>
  <w:style w:type="paragraph" w:styleId="ad">
    <w:name w:val="footer"/>
    <w:basedOn w:val="a"/>
    <w:link w:val="ae"/>
    <w:uiPriority w:val="99"/>
    <w:unhideWhenUsed/>
    <w:rsid w:val="006810BE"/>
    <w:pPr>
      <w:tabs>
        <w:tab w:val="center" w:pos="4252"/>
        <w:tab w:val="right" w:pos="8504"/>
      </w:tabs>
      <w:snapToGrid w:val="0"/>
    </w:pPr>
  </w:style>
  <w:style w:type="character" w:customStyle="1" w:styleId="ae">
    <w:name w:val="フッター (文字)"/>
    <w:basedOn w:val="a0"/>
    <w:link w:val="ad"/>
    <w:uiPriority w:val="99"/>
    <w:rsid w:val="0068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lden_Rule" TargetMode="External"/><Relationship Id="rId13" Type="http://schemas.openxmlformats.org/officeDocument/2006/relationships/hyperlink" Target="https://en.wikipedia.org/wiki/Greg_M._Epste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ode_of_Hammura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ushworth_Kid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Confucian" TargetMode="External"/><Relationship Id="rId4" Type="http://schemas.openxmlformats.org/officeDocument/2006/relationships/settings" Target="settings.xml"/><Relationship Id="rId9" Type="http://schemas.openxmlformats.org/officeDocument/2006/relationships/hyperlink" Target="https://en.wikipedia.org/wiki/Golden_Rule" TargetMode="External"/><Relationship Id="rId14" Type="http://schemas.openxmlformats.org/officeDocument/2006/relationships/hyperlink" Target="https://en.wikipedia.org/wiki/Simon_Blackbur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Golden_Rul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8B19-1362-4817-8D1B-CB0469EE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62</dc:title>
  <dc:subject/>
  <dc:creator>Richard A. Moe</dc:creator>
  <cp:keywords/>
  <cp:lastModifiedBy/>
  <cp:revision>1</cp:revision>
  <dcterms:created xsi:type="dcterms:W3CDTF">2020-08-26T06:56:00Z</dcterms:created>
  <dcterms:modified xsi:type="dcterms:W3CDTF">2020-08-26T06:56:00Z</dcterms:modified>
</cp:coreProperties>
</file>